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7F" w:rsidRDefault="005E757F">
      <w:pPr>
        <w:spacing w:after="0"/>
        <w:ind w:left="120"/>
      </w:pPr>
      <w:bookmarkStart w:id="0" w:name="block-28385964"/>
    </w:p>
    <w:p w:rsidR="004672F6" w:rsidRPr="004672F6" w:rsidRDefault="004A4781" w:rsidP="004672F6">
      <w:pPr>
        <w:spacing w:line="408" w:lineRule="auto"/>
        <w:ind w:left="120"/>
        <w:jc w:val="center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hAnsi="Times New Roman"/>
          <w:color w:val="000000"/>
          <w:sz w:val="28"/>
        </w:rPr>
        <w:t>‌</w:t>
      </w:r>
      <w:r w:rsidR="004672F6" w:rsidRPr="004672F6">
        <w:rPr>
          <w:rFonts w:ascii="Times New Roman" w:eastAsia="Calibri" w:hAnsi="Times New Roman" w:cs="Times New Roman"/>
          <w:b/>
          <w:color w:val="000000"/>
          <w:sz w:val="28"/>
          <w:lang w:eastAsia="ar-SA"/>
        </w:rPr>
        <w:t xml:space="preserve"> </w:t>
      </w:r>
      <w:r w:rsidR="004672F6" w:rsidRPr="004672F6">
        <w:rPr>
          <w:rFonts w:ascii="Times New Roman" w:eastAsia="Calibri" w:hAnsi="Times New Roman" w:cs="Times New Roman"/>
          <w:b/>
          <w:color w:val="000000"/>
          <w:sz w:val="28"/>
          <w:lang w:eastAsia="ar-SA"/>
        </w:rPr>
        <w:t>МИНИСТЕРСТВО ПРОСВЕЩЕНИЯ РОССИЙСКОЙ ФЕДЕРАЦИИ</w:t>
      </w:r>
    </w:p>
    <w:p w:rsidR="004672F6" w:rsidRPr="004672F6" w:rsidRDefault="004672F6" w:rsidP="004672F6">
      <w:pPr>
        <w:spacing w:after="0" w:line="408" w:lineRule="auto"/>
        <w:ind w:left="120" w:firstLine="709"/>
        <w:jc w:val="center"/>
        <w:rPr>
          <w:rFonts w:ascii="Times New Roman" w:eastAsia="Calibri" w:hAnsi="Times New Roman" w:cs="Times New Roman"/>
          <w:lang w:eastAsia="ar-SA"/>
        </w:rPr>
      </w:pPr>
      <w:r w:rsidRPr="004672F6">
        <w:rPr>
          <w:rFonts w:ascii="Times New Roman" w:eastAsia="Calibri" w:hAnsi="Times New Roman" w:cs="Times New Roman"/>
          <w:b/>
          <w:color w:val="000000"/>
          <w:sz w:val="28"/>
          <w:lang w:eastAsia="ar-SA"/>
        </w:rPr>
        <w:t>‌</w:t>
      </w:r>
      <w:bookmarkStart w:id="1" w:name="7e23ae95-14d1-494f-ac52-185ba52e2507"/>
      <w:r w:rsidRPr="004672F6">
        <w:rPr>
          <w:rFonts w:ascii="Times New Roman" w:eastAsia="Calibri" w:hAnsi="Times New Roman" w:cs="Times New Roman"/>
          <w:b/>
          <w:color w:val="000000"/>
          <w:sz w:val="28"/>
          <w:lang w:eastAsia="ar-SA"/>
        </w:rPr>
        <w:t>ДЕПАРТАМЕНТ ОБРАЗОВАНИЯ ВОЛОГОДСКОЙ ОБЛАСТИ</w:t>
      </w:r>
      <w:bookmarkEnd w:id="1"/>
      <w:r w:rsidRPr="004672F6">
        <w:rPr>
          <w:rFonts w:ascii="Times New Roman" w:eastAsia="Calibri" w:hAnsi="Times New Roman" w:cs="Times New Roman"/>
          <w:b/>
          <w:color w:val="000000"/>
          <w:sz w:val="28"/>
          <w:lang w:eastAsia="ar-SA"/>
        </w:rPr>
        <w:t xml:space="preserve">‌‌ </w:t>
      </w:r>
    </w:p>
    <w:p w:rsidR="004672F6" w:rsidRPr="004672F6" w:rsidRDefault="004672F6" w:rsidP="004672F6">
      <w:pPr>
        <w:spacing w:after="0" w:line="408" w:lineRule="auto"/>
        <w:ind w:left="120" w:firstLine="709"/>
        <w:jc w:val="center"/>
        <w:rPr>
          <w:rFonts w:ascii="Times New Roman" w:eastAsia="Calibri" w:hAnsi="Times New Roman" w:cs="Times New Roman"/>
          <w:lang w:eastAsia="ar-SA"/>
        </w:rPr>
      </w:pPr>
      <w:r w:rsidRPr="004672F6">
        <w:rPr>
          <w:rFonts w:ascii="Times New Roman" w:eastAsia="Calibri" w:hAnsi="Times New Roman" w:cs="Times New Roman"/>
          <w:b/>
          <w:color w:val="000000"/>
          <w:sz w:val="28"/>
          <w:lang w:eastAsia="ar-SA"/>
        </w:rPr>
        <w:t>‌</w:t>
      </w:r>
      <w:bookmarkStart w:id="2" w:name="6a79db9e-395e-41b7-ae56-606e60c06ed6"/>
      <w:r w:rsidRPr="004672F6">
        <w:rPr>
          <w:rFonts w:ascii="Times New Roman" w:eastAsia="Calibri" w:hAnsi="Times New Roman" w:cs="Times New Roman"/>
          <w:b/>
          <w:color w:val="000000"/>
          <w:sz w:val="28"/>
          <w:lang w:eastAsia="ar-SA"/>
        </w:rPr>
        <w:t>Управление образования Междуреченского муниципального округа Вологодской области</w:t>
      </w:r>
      <w:bookmarkEnd w:id="2"/>
      <w:r w:rsidRPr="004672F6">
        <w:rPr>
          <w:rFonts w:ascii="Times New Roman" w:eastAsia="Calibri" w:hAnsi="Times New Roman" w:cs="Times New Roman"/>
          <w:b/>
          <w:color w:val="000000"/>
          <w:sz w:val="28"/>
          <w:lang w:eastAsia="ar-SA"/>
        </w:rPr>
        <w:t>‌</w:t>
      </w:r>
      <w:r w:rsidRPr="004672F6">
        <w:rPr>
          <w:rFonts w:ascii="Times New Roman" w:eastAsia="Calibri" w:hAnsi="Times New Roman" w:cs="Times New Roman"/>
          <w:color w:val="000000"/>
          <w:sz w:val="28"/>
          <w:lang w:eastAsia="ar-SA"/>
        </w:rPr>
        <w:t>​</w:t>
      </w:r>
    </w:p>
    <w:p w:rsidR="004672F6" w:rsidRPr="004672F6" w:rsidRDefault="004672F6" w:rsidP="004672F6">
      <w:pPr>
        <w:spacing w:after="0" w:line="408" w:lineRule="auto"/>
        <w:ind w:left="120" w:firstLine="709"/>
        <w:jc w:val="center"/>
        <w:rPr>
          <w:rFonts w:ascii="Times New Roman" w:eastAsia="Calibri" w:hAnsi="Times New Roman" w:cs="Times New Roman"/>
          <w:lang w:eastAsia="ar-SA"/>
        </w:rPr>
      </w:pPr>
      <w:r w:rsidRPr="004672F6">
        <w:rPr>
          <w:rFonts w:ascii="Times New Roman" w:eastAsia="Calibri" w:hAnsi="Times New Roman" w:cs="Times New Roman"/>
          <w:b/>
          <w:color w:val="000000"/>
          <w:sz w:val="28"/>
          <w:lang w:eastAsia="ar-SA"/>
        </w:rPr>
        <w:t>МБОУ "Шуйская СОШ"</w:t>
      </w:r>
    </w:p>
    <w:p w:rsidR="004672F6" w:rsidRPr="004672F6" w:rsidRDefault="004672F6" w:rsidP="004672F6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618490</wp:posOffset>
            </wp:positionH>
            <wp:positionV relativeFrom="paragraph">
              <wp:posOffset>46355</wp:posOffset>
            </wp:positionV>
            <wp:extent cx="6031865" cy="1563370"/>
            <wp:effectExtent l="0" t="0" r="6985" b="0"/>
            <wp:wrapThrough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65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2F6" w:rsidRPr="004672F6" w:rsidRDefault="004672F6" w:rsidP="004672F6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lang w:eastAsia="ar-SA"/>
        </w:rPr>
      </w:pPr>
    </w:p>
    <w:p w:rsidR="004672F6" w:rsidRPr="004672F6" w:rsidRDefault="004672F6" w:rsidP="004672F6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lang w:eastAsia="ar-SA"/>
        </w:rPr>
      </w:pPr>
    </w:p>
    <w:p w:rsidR="004672F6" w:rsidRPr="004672F6" w:rsidRDefault="004672F6" w:rsidP="004672F6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lang w:eastAsia="ar-SA"/>
        </w:rPr>
      </w:pPr>
    </w:p>
    <w:p w:rsidR="005E757F" w:rsidRDefault="005E757F">
      <w:pPr>
        <w:spacing w:after="0"/>
        <w:ind w:left="120"/>
      </w:pPr>
    </w:p>
    <w:p w:rsidR="005E757F" w:rsidRDefault="005E757F">
      <w:pPr>
        <w:spacing w:after="0"/>
        <w:ind w:left="120"/>
      </w:pPr>
    </w:p>
    <w:p w:rsidR="005E757F" w:rsidRDefault="005E757F">
      <w:pPr>
        <w:spacing w:after="0"/>
        <w:ind w:left="120"/>
      </w:pPr>
    </w:p>
    <w:p w:rsidR="005E757F" w:rsidRDefault="005E757F">
      <w:pPr>
        <w:spacing w:after="0"/>
        <w:ind w:left="120"/>
      </w:pPr>
    </w:p>
    <w:p w:rsidR="005E757F" w:rsidRDefault="004A47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E757F" w:rsidRDefault="004A478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3752788)</w:t>
      </w:r>
    </w:p>
    <w:p w:rsidR="005E757F" w:rsidRDefault="005E757F">
      <w:pPr>
        <w:spacing w:after="0"/>
        <w:ind w:left="120"/>
        <w:jc w:val="center"/>
      </w:pPr>
    </w:p>
    <w:p w:rsidR="005E757F" w:rsidRDefault="004A47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5E757F" w:rsidRDefault="004A478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5E757F" w:rsidRDefault="005E757F">
      <w:pPr>
        <w:spacing w:after="0"/>
        <w:ind w:left="120"/>
        <w:jc w:val="center"/>
      </w:pPr>
    </w:p>
    <w:p w:rsidR="005E757F" w:rsidRDefault="005E757F">
      <w:pPr>
        <w:spacing w:after="0"/>
        <w:ind w:left="120"/>
        <w:jc w:val="center"/>
      </w:pPr>
    </w:p>
    <w:p w:rsidR="005E757F" w:rsidRDefault="005E757F">
      <w:pPr>
        <w:spacing w:after="0"/>
        <w:ind w:left="120"/>
        <w:jc w:val="center"/>
      </w:pPr>
    </w:p>
    <w:p w:rsidR="005E757F" w:rsidRDefault="005E757F">
      <w:pPr>
        <w:spacing w:after="0"/>
        <w:ind w:left="120"/>
        <w:jc w:val="center"/>
      </w:pPr>
    </w:p>
    <w:p w:rsidR="005E757F" w:rsidRDefault="005E757F">
      <w:pPr>
        <w:spacing w:after="0"/>
        <w:ind w:left="120"/>
        <w:jc w:val="center"/>
      </w:pPr>
    </w:p>
    <w:p w:rsidR="005E757F" w:rsidRDefault="005E757F">
      <w:pPr>
        <w:spacing w:after="0"/>
        <w:ind w:left="120"/>
        <w:jc w:val="center"/>
      </w:pPr>
    </w:p>
    <w:p w:rsidR="005E757F" w:rsidRDefault="005E757F">
      <w:pPr>
        <w:spacing w:after="0"/>
        <w:ind w:left="120"/>
        <w:jc w:val="center"/>
      </w:pPr>
    </w:p>
    <w:p w:rsidR="005E757F" w:rsidRDefault="005E757F">
      <w:pPr>
        <w:spacing w:after="0"/>
        <w:ind w:left="120"/>
        <w:jc w:val="center"/>
      </w:pPr>
    </w:p>
    <w:p w:rsidR="005E757F" w:rsidRDefault="005E757F">
      <w:pPr>
        <w:spacing w:after="0"/>
        <w:ind w:left="120"/>
        <w:jc w:val="center"/>
      </w:pPr>
    </w:p>
    <w:p w:rsidR="005E757F" w:rsidRDefault="005E757F">
      <w:pPr>
        <w:spacing w:after="0"/>
        <w:ind w:left="120"/>
        <w:jc w:val="center"/>
      </w:pPr>
    </w:p>
    <w:p w:rsidR="005E757F" w:rsidRDefault="005E757F">
      <w:pPr>
        <w:spacing w:after="0"/>
        <w:ind w:left="120"/>
        <w:jc w:val="center"/>
      </w:pPr>
    </w:p>
    <w:p w:rsidR="005E757F" w:rsidRDefault="005E757F">
      <w:pPr>
        <w:spacing w:after="0"/>
        <w:ind w:left="120"/>
        <w:jc w:val="center"/>
      </w:pPr>
    </w:p>
    <w:p w:rsidR="004672F6" w:rsidRDefault="004672F6">
      <w:pPr>
        <w:spacing w:after="0"/>
        <w:ind w:left="120"/>
        <w:jc w:val="center"/>
      </w:pPr>
    </w:p>
    <w:p w:rsidR="004672F6" w:rsidRDefault="004672F6">
      <w:pPr>
        <w:spacing w:after="0"/>
        <w:ind w:left="120"/>
        <w:jc w:val="center"/>
      </w:pPr>
    </w:p>
    <w:p w:rsidR="004672F6" w:rsidRDefault="004672F6">
      <w:pPr>
        <w:spacing w:after="0"/>
        <w:ind w:left="120"/>
        <w:jc w:val="center"/>
      </w:pPr>
      <w:bookmarkStart w:id="3" w:name="_GoBack"/>
      <w:bookmarkEnd w:id="3"/>
    </w:p>
    <w:p w:rsidR="005E757F" w:rsidRDefault="004A478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</w:t>
      </w:r>
      <w:proofErr w:type="spellStart"/>
      <w:r w:rsidR="00790CA4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="00790CA4">
        <w:rPr>
          <w:rFonts w:ascii="Times New Roman" w:hAnsi="Times New Roman"/>
          <w:b/>
          <w:color w:val="000000"/>
          <w:sz w:val="28"/>
        </w:rPr>
        <w:t>.Ш</w:t>
      </w:r>
      <w:proofErr w:type="gramEnd"/>
      <w:r w:rsidR="00790CA4">
        <w:rPr>
          <w:rFonts w:ascii="Times New Roman" w:hAnsi="Times New Roman"/>
          <w:b/>
          <w:color w:val="000000"/>
          <w:sz w:val="28"/>
        </w:rPr>
        <w:t>уйское</w:t>
      </w:r>
      <w:proofErr w:type="spellEnd"/>
      <w:r w:rsidR="00790CA4">
        <w:rPr>
          <w:rFonts w:ascii="Times New Roman" w:hAnsi="Times New Roman"/>
          <w:b/>
          <w:color w:val="000000"/>
          <w:sz w:val="28"/>
        </w:rPr>
        <w:t>, 2023 г.</w:t>
      </w:r>
      <w:r>
        <w:rPr>
          <w:rFonts w:ascii="Times New Roman" w:hAnsi="Times New Roman"/>
          <w:b/>
          <w:color w:val="000000"/>
          <w:sz w:val="28"/>
        </w:rPr>
        <w:t xml:space="preserve"> ‌</w:t>
      </w:r>
      <w:r>
        <w:rPr>
          <w:rFonts w:ascii="Times New Roman" w:hAnsi="Times New Roman"/>
          <w:color w:val="000000"/>
          <w:sz w:val="28"/>
        </w:rPr>
        <w:t>​</w:t>
      </w:r>
    </w:p>
    <w:p w:rsidR="005E757F" w:rsidRPr="00790CA4" w:rsidRDefault="005E757F">
      <w:pPr>
        <w:sectPr w:rsidR="005E757F" w:rsidRPr="00790CA4">
          <w:pgSz w:w="11906" w:h="16383"/>
          <w:pgMar w:top="1134" w:right="850" w:bottom="1134" w:left="1701" w:header="720" w:footer="720" w:gutter="0"/>
          <w:cols w:space="720"/>
        </w:sectPr>
      </w:pPr>
    </w:p>
    <w:p w:rsidR="005E757F" w:rsidRDefault="004A4781">
      <w:pPr>
        <w:spacing w:after="0" w:line="264" w:lineRule="auto"/>
        <w:ind w:left="120"/>
        <w:jc w:val="both"/>
      </w:pPr>
      <w:bookmarkStart w:id="4" w:name="block-2838596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социализации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>
        <w:rPr>
          <w:rFonts w:ascii="Times New Roman" w:hAnsi="Times New Roman"/>
          <w:color w:val="000000"/>
          <w:sz w:val="28"/>
        </w:rPr>
        <w:t>пределами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>
        <w:rPr>
          <w:rFonts w:ascii="Times New Roman" w:hAnsi="Times New Roman"/>
          <w:color w:val="000000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>, так и личностных результатов обучения.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>
        <w:rPr>
          <w:rFonts w:ascii="Times New Roman" w:hAnsi="Times New Roman"/>
          <w:color w:val="000000"/>
          <w:spacing w:val="2"/>
          <w:sz w:val="28"/>
        </w:rPr>
        <w:t>постглобализации</w:t>
      </w:r>
      <w:proofErr w:type="spellEnd"/>
      <w:r>
        <w:rPr>
          <w:rFonts w:ascii="Times New Roman" w:hAnsi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>
        <w:rPr>
          <w:rFonts w:ascii="Times New Roman" w:hAnsi="Times New Roman"/>
          <w:color w:val="000000"/>
          <w:sz w:val="28"/>
        </w:rPr>
        <w:t>ств гр</w:t>
      </w:r>
      <w:proofErr w:type="gramEnd"/>
      <w:r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>
        <w:rPr>
          <w:rFonts w:ascii="Times New Roman" w:hAnsi="Times New Roman"/>
          <w:color w:val="000000"/>
          <w:sz w:val="28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>
        <w:rPr>
          <w:rFonts w:ascii="Times New Roman" w:hAnsi="Times New Roman"/>
          <w:color w:val="000000"/>
          <w:sz w:val="28"/>
        </w:rPr>
        <w:t>речевая</w:t>
      </w:r>
      <w:proofErr w:type="gramEnd"/>
      <w:r>
        <w:rPr>
          <w:rFonts w:ascii="Times New Roman" w:hAnsi="Times New Roman"/>
          <w:color w:val="000000"/>
          <w:sz w:val="28"/>
        </w:rPr>
        <w:t xml:space="preserve">, языковая, социокультурная, компенсаторная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компетенции: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чтении, письменной речи);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>
        <w:rPr>
          <w:rFonts w:ascii="Times New Roman" w:hAnsi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</w:t>
      </w:r>
      <w:proofErr w:type="spellStart"/>
      <w:r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>
        <w:rPr>
          <w:rFonts w:ascii="Times New Roman" w:hAnsi="Times New Roman"/>
          <w:color w:val="000000"/>
          <w:sz w:val="28"/>
        </w:rPr>
        <w:t>, системно-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>
        <w:rPr>
          <w:rFonts w:ascii="Times New Roman" w:hAnsi="Times New Roman"/>
          <w:color w:val="000000"/>
          <w:sz w:val="28"/>
        </w:rPr>
        <w:lastRenderedPageBreak/>
        <w:t>педагогических технологий и возможностей цифровой образовательной среды.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5" w:name="b1cb9ba3-8936-440c-ac0f-95944fbe2f65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5"/>
      <w:r>
        <w:rPr>
          <w:rFonts w:ascii="Times New Roman" w:hAnsi="Times New Roman"/>
          <w:color w:val="000000"/>
          <w:sz w:val="28"/>
        </w:rPr>
        <w:t>‌‌</w:t>
      </w:r>
    </w:p>
    <w:p w:rsidR="005E757F" w:rsidRDefault="005E757F">
      <w:pPr>
        <w:sectPr w:rsidR="005E757F">
          <w:pgSz w:w="11906" w:h="16383"/>
          <w:pgMar w:top="1134" w:right="850" w:bottom="1134" w:left="1701" w:header="720" w:footer="720" w:gutter="0"/>
          <w:cols w:space="720"/>
        </w:sectPr>
      </w:pPr>
    </w:p>
    <w:p w:rsidR="005E757F" w:rsidRDefault="004A4781">
      <w:pPr>
        <w:spacing w:after="0" w:line="264" w:lineRule="auto"/>
        <w:ind w:left="120"/>
        <w:jc w:val="both"/>
      </w:pPr>
      <w:bookmarkStart w:id="6" w:name="block-2838596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другие) и понимание представленной в них информации. 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blackboard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father-in-law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blue-eyed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eight-legged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 II (</w:t>
      </w:r>
      <w:proofErr w:type="spellStart"/>
      <w:r>
        <w:rPr>
          <w:rFonts w:ascii="Times New Roman" w:hAnsi="Times New Roman"/>
          <w:color w:val="000000"/>
          <w:sz w:val="28"/>
        </w:rPr>
        <w:t>well-behaved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>
        <w:rPr>
          <w:rFonts w:ascii="Times New Roman" w:hAnsi="Times New Roman"/>
          <w:color w:val="000000"/>
          <w:sz w:val="28"/>
        </w:rPr>
        <w:t>nice-looking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конверсия: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от имён существительных (a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moved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8"/>
        </w:rPr>
        <w:t>new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house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year</w:t>
      </w:r>
      <w:proofErr w:type="spellEnd"/>
      <w:r>
        <w:rPr>
          <w:rFonts w:ascii="Times New Roman" w:hAnsi="Times New Roman"/>
          <w:color w:val="000000"/>
          <w:sz w:val="28"/>
        </w:rPr>
        <w:t xml:space="preserve">.).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672F6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4672F6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II).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>
        <w:rPr>
          <w:rFonts w:ascii="Times New Roman" w:hAnsi="Times New Roman"/>
          <w:color w:val="000000"/>
          <w:sz w:val="28"/>
        </w:rPr>
        <w:t xml:space="preserve">…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).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Future-in-the-Past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>
        <w:rPr>
          <w:rFonts w:ascii="Times New Roman" w:hAnsi="Times New Roman"/>
          <w:color w:val="000000"/>
          <w:sz w:val="28"/>
        </w:rPr>
        <w:t>образованных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>
        <w:rPr>
          <w:rFonts w:ascii="Times New Roman" w:hAnsi="Times New Roman"/>
          <w:color w:val="000000"/>
          <w:sz w:val="28"/>
        </w:rPr>
        <w:t>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образования.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>
        <w:rPr>
          <w:rFonts w:ascii="Times New Roman" w:hAnsi="Times New Roman"/>
          <w:color w:val="000000"/>
          <w:sz w:val="28"/>
        </w:rPr>
        <w:t>и(</w:t>
      </w:r>
      <w:proofErr w:type="gramEnd"/>
      <w:r>
        <w:rPr>
          <w:rFonts w:ascii="Times New Roman" w:hAnsi="Times New Roman"/>
          <w:color w:val="000000"/>
          <w:sz w:val="28"/>
        </w:rPr>
        <w:t>или) без их использования.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Языковая сложность 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должна соответствовать пороговому уровню 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других) и понимание представленной в них информации. 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post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pre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blue-bell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father-in-law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blue-eyed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eight-legged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причастия II (</w:t>
      </w:r>
      <w:proofErr w:type="spellStart"/>
      <w:r>
        <w:rPr>
          <w:rFonts w:ascii="Times New Roman" w:hAnsi="Times New Roman"/>
          <w:color w:val="000000"/>
          <w:sz w:val="28"/>
        </w:rPr>
        <w:t>well-behaved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>
        <w:rPr>
          <w:rFonts w:ascii="Times New Roman" w:hAnsi="Times New Roman"/>
          <w:color w:val="000000"/>
          <w:sz w:val="28"/>
        </w:rPr>
        <w:t>nice-looking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конверсия: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от имён существительных (a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moved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8"/>
        </w:rPr>
        <w:t>new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house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year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672F6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Subject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4672F6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II).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Все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>
        <w:rPr>
          <w:rFonts w:ascii="Times New Roman" w:hAnsi="Times New Roman"/>
          <w:color w:val="000000"/>
          <w:sz w:val="28"/>
        </w:rPr>
        <w:t xml:space="preserve">…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).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Future-in-the-Past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>
        <w:rPr>
          <w:rFonts w:ascii="Times New Roman" w:hAnsi="Times New Roman"/>
          <w:color w:val="000000"/>
          <w:sz w:val="28"/>
        </w:rPr>
        <w:t>образованных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языковую и контекстуальную догадку.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E757F" w:rsidRDefault="005E757F">
      <w:pPr>
        <w:sectPr w:rsidR="005E757F">
          <w:pgSz w:w="11906" w:h="16383"/>
          <w:pgMar w:top="1134" w:right="850" w:bottom="1134" w:left="1701" w:header="720" w:footer="720" w:gutter="0"/>
          <w:cols w:space="720"/>
        </w:sectPr>
      </w:pPr>
    </w:p>
    <w:p w:rsidR="005E757F" w:rsidRDefault="004A4781">
      <w:pPr>
        <w:spacing w:after="0" w:line="264" w:lineRule="auto"/>
        <w:ind w:left="120"/>
        <w:jc w:val="both"/>
      </w:pPr>
      <w:bookmarkStart w:id="7" w:name="block-28385966"/>
      <w:bookmarkEnd w:id="6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E757F" w:rsidRDefault="004A4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5E757F" w:rsidRDefault="004A4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E757F" w:rsidRDefault="004A4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5E757F" w:rsidRDefault="004A4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5E757F" w:rsidRDefault="004A4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5E757F" w:rsidRDefault="004A4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E757F" w:rsidRDefault="004A4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E757F" w:rsidRDefault="004A4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5E757F" w:rsidRDefault="004A4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E757F" w:rsidRDefault="004A478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E757F" w:rsidRDefault="004A478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5E757F" w:rsidRDefault="004A478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5E757F" w:rsidRDefault="004A478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E757F" w:rsidRDefault="004A478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E757F" w:rsidRDefault="004A478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5E757F" w:rsidRDefault="004A478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E757F" w:rsidRDefault="004A478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>, уметь смягчать конфликтные ситуации;</w:t>
      </w:r>
    </w:p>
    <w:p w:rsidR="005E757F" w:rsidRDefault="004A478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E757F" w:rsidRDefault="004A478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E757F" w:rsidRDefault="004A478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E757F" w:rsidRDefault="004A478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E757F" w:rsidRDefault="004A478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5E757F" w:rsidRDefault="004A478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E757F" w:rsidRDefault="004A478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созданный речевой проду</w:t>
      </w:r>
      <w:proofErr w:type="gramStart"/>
      <w:r>
        <w:rPr>
          <w:rFonts w:ascii="Times New Roman" w:hAnsi="Times New Roman"/>
          <w:color w:val="000000"/>
          <w:sz w:val="28"/>
        </w:rPr>
        <w:t>кт в сл</w:t>
      </w:r>
      <w:proofErr w:type="gramEnd"/>
      <w:r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5E757F" w:rsidRDefault="004A47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5E757F" w:rsidRDefault="004A478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5E757F" w:rsidRDefault="004A478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E757F" w:rsidRDefault="004A478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5E757F" w:rsidRDefault="004A478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E757F" w:rsidRDefault="004A478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E757F" w:rsidRDefault="005E757F">
      <w:pPr>
        <w:spacing w:after="0" w:line="264" w:lineRule="auto"/>
        <w:ind w:left="120"/>
        <w:jc w:val="both"/>
      </w:pP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2,5 минут).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>
        <w:rPr>
          <w:rFonts w:ascii="Times New Roman" w:hAnsi="Times New Roman"/>
          <w:color w:val="000000"/>
          <w:sz w:val="28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тексты (таблицы, диаграммы, графики и другие) и понимать представленную в них информацию.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-ness,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-, inter-, non-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/-an,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-y;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father-in-law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blue-eyed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eight-legged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путём соединения наречия с основой причастия II (</w:t>
      </w:r>
      <w:proofErr w:type="spellStart"/>
      <w:r>
        <w:rPr>
          <w:rFonts w:ascii="Times New Roman" w:hAnsi="Times New Roman"/>
          <w:color w:val="000000"/>
          <w:sz w:val="28"/>
        </w:rPr>
        <w:t>well-behaved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 с основой причастия I (</w:t>
      </w:r>
      <w:proofErr w:type="spellStart"/>
      <w:r>
        <w:rPr>
          <w:rFonts w:ascii="Times New Roman" w:hAnsi="Times New Roman"/>
          <w:color w:val="000000"/>
          <w:sz w:val="28"/>
        </w:rPr>
        <w:t>nice-looking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>
        <w:rPr>
          <w:rFonts w:ascii="Times New Roman" w:hAnsi="Times New Roman"/>
          <w:color w:val="000000"/>
          <w:sz w:val="28"/>
        </w:rPr>
        <w:t>речи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II);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Present/Past/Future Simple Tense, </w:t>
      </w:r>
      <w:r w:rsidRPr="004672F6">
        <w:rPr>
          <w:rFonts w:ascii="Times New Roman" w:hAnsi="Times New Roman"/>
          <w:color w:val="000000"/>
          <w:sz w:val="28"/>
          <w:lang w:val="en-US"/>
        </w:rPr>
        <w:lastRenderedPageBreak/>
        <w:t xml:space="preserve">Present/Past Continuous Tense, Present/Past Perfect Tense, Present Perfect Continuous Tense);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Future-in-the-Past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>
        <w:rPr>
          <w:rFonts w:ascii="Times New Roman" w:hAnsi="Times New Roman"/>
          <w:color w:val="000000"/>
          <w:sz w:val="28"/>
        </w:rPr>
        <w:t>образованных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>
        <w:rPr>
          <w:rFonts w:ascii="Times New Roman" w:hAnsi="Times New Roman"/>
          <w:color w:val="000000"/>
          <w:sz w:val="28"/>
        </w:rPr>
        <w:t>, и другие);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умениями, позволяющими: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5E757F" w:rsidRDefault="004A47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2,5 минут)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>
        <w:rPr>
          <w:rFonts w:ascii="Times New Roman" w:hAnsi="Times New Roman"/>
          <w:color w:val="000000"/>
          <w:sz w:val="28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тексты (таблицы, диаграммы, графики) и понимать представленную в них информацию.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-,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-ness,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-,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-, inter-, non-, post-, pre-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/ -an,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ical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, -y;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father-in-law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blue-eyed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eight-legged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наречия с основой причастия II (</w:t>
      </w:r>
      <w:proofErr w:type="spellStart"/>
      <w:r>
        <w:rPr>
          <w:rFonts w:ascii="Times New Roman" w:hAnsi="Times New Roman"/>
          <w:color w:val="000000"/>
          <w:sz w:val="28"/>
        </w:rPr>
        <w:t>well-behaved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 с основой причастия I (</w:t>
      </w:r>
      <w:proofErr w:type="spellStart"/>
      <w:r>
        <w:rPr>
          <w:rFonts w:ascii="Times New Roman" w:hAnsi="Times New Roman"/>
          <w:color w:val="000000"/>
          <w:sz w:val="28"/>
        </w:rPr>
        <w:t>nice-looking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>
        <w:rPr>
          <w:rFonts w:ascii="Times New Roman" w:hAnsi="Times New Roman"/>
          <w:color w:val="000000"/>
          <w:sz w:val="28"/>
        </w:rPr>
        <w:t>речи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Subject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II);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>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4672F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672F6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Future-in-the-Past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>
        <w:rPr>
          <w:rFonts w:ascii="Times New Roman" w:hAnsi="Times New Roman"/>
          <w:color w:val="000000"/>
          <w:sz w:val="28"/>
        </w:rPr>
        <w:t>образованных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5E757F" w:rsidRPr="004672F6" w:rsidRDefault="004A478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4672F6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5E757F" w:rsidRDefault="004A47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>
        <w:rPr>
          <w:rFonts w:ascii="Times New Roman" w:hAnsi="Times New Roman"/>
          <w:color w:val="000000"/>
          <w:sz w:val="28"/>
        </w:rPr>
        <w:t>, и другие);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языковую и контекстуальную догадку;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5E757F" w:rsidRDefault="004A4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5E757F" w:rsidRDefault="005E757F">
      <w:pPr>
        <w:sectPr w:rsidR="005E757F">
          <w:pgSz w:w="11906" w:h="16383"/>
          <w:pgMar w:top="1134" w:right="850" w:bottom="1134" w:left="1701" w:header="720" w:footer="720" w:gutter="0"/>
          <w:cols w:space="720"/>
        </w:sectPr>
      </w:pPr>
    </w:p>
    <w:p w:rsidR="005E757F" w:rsidRDefault="004A4781">
      <w:pPr>
        <w:spacing w:after="0"/>
        <w:ind w:left="120"/>
      </w:pPr>
      <w:bookmarkStart w:id="8" w:name="block-2838596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E757F" w:rsidRDefault="004A4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05"/>
        <w:gridCol w:w="1841"/>
        <w:gridCol w:w="2236"/>
        <w:gridCol w:w="2278"/>
      </w:tblGrid>
      <w:tr w:rsidR="005E757F">
        <w:trPr>
          <w:trHeight w:val="144"/>
          <w:tblCellSpacing w:w="20" w:type="nil"/>
        </w:trPr>
        <w:tc>
          <w:tcPr>
            <w:tcW w:w="3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Воспитательный компонент </w:t>
            </w:r>
          </w:p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</w:t>
            </w:r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  <w:proofErr w:type="gramEnd"/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включение в урок игровых процедур, которые помогают поддержать мотивацию детей к получению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обсуждаемой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уроке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</w:t>
            </w:r>
            <w:proofErr w:type="spellEnd"/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школьников к ценностному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использование воспитательных возможностей содержания учебного предмета через демонстрацию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  <w:proofErr w:type="gramEnd"/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доброжелательной атмосферы во время урока</w:t>
            </w:r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5E757F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побуждение школьников соблюдать на уроке общепринятые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нормы поведения, правила общения со старшими (учителями) и сверстниками (школьниками),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ситуаций для обсуждения в классе</w:t>
            </w:r>
            <w:proofErr w:type="gramEnd"/>
          </w:p>
        </w:tc>
      </w:tr>
      <w:tr w:rsidR="005E75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7F" w:rsidRDefault="005E757F"/>
        </w:tc>
      </w:tr>
    </w:tbl>
    <w:p w:rsidR="005E757F" w:rsidRDefault="005E757F">
      <w:pPr>
        <w:sectPr w:rsidR="005E7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57F" w:rsidRDefault="004A4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44"/>
        <w:gridCol w:w="1841"/>
        <w:gridCol w:w="2401"/>
      </w:tblGrid>
      <w:tr w:rsidR="00790CA4" w:rsidTr="00790CA4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90CA4" w:rsidRDefault="00790CA4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0CA4" w:rsidRDefault="00790CA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CA4" w:rsidRDefault="00790CA4" w:rsidP="00790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Воспитательный компонент </w:t>
            </w:r>
          </w:p>
          <w:p w:rsidR="00790CA4" w:rsidRDefault="00790CA4" w:rsidP="00790CA4">
            <w:pPr>
              <w:spacing w:after="0"/>
              <w:ind w:left="135"/>
            </w:pPr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CA4" w:rsidRDefault="00790C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CA4" w:rsidRDefault="00790CA4"/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0CA4" w:rsidRDefault="00790C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0CA4" w:rsidRDefault="00790C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CA4" w:rsidRDefault="00790CA4"/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обсуждаемой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уроке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</w:t>
            </w:r>
            <w:proofErr w:type="spellEnd"/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</w:pP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на уроках явлений, организация их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экзаменам. 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включение в урок игровых процедур, которые помогают поддержать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позитивному восприятию учащимися требований и просьб учителя, привлечению их внимания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обсуждаемой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уроке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</w:t>
            </w:r>
            <w:proofErr w:type="spellEnd"/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на уроках явлений, организация их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обсуждаемой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уроке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</w:t>
            </w:r>
            <w:proofErr w:type="spellEnd"/>
          </w:p>
        </w:tc>
      </w:tr>
      <w:tr w:rsidR="00790CA4" w:rsidTr="00790CA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90CA4" w:rsidRPr="00790CA4" w:rsidRDefault="007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0CA4" w:rsidRDefault="00790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5E757F" w:rsidTr="00790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E757F" w:rsidRDefault="005E757F"/>
        </w:tc>
      </w:tr>
    </w:tbl>
    <w:p w:rsidR="005E757F" w:rsidRDefault="005E757F">
      <w:pPr>
        <w:sectPr w:rsidR="005E7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57F" w:rsidRDefault="005E757F">
      <w:pPr>
        <w:sectPr w:rsidR="005E7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57F" w:rsidRDefault="004A4781">
      <w:pPr>
        <w:spacing w:after="0"/>
        <w:ind w:left="120"/>
      </w:pPr>
      <w:bookmarkStart w:id="9" w:name="block-283859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757F" w:rsidRDefault="004A4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5E757F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человека, любимого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жизнь других стран. Переписка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"Современный мир профессий. Проблемы выбора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Исчезающие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животных. 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отходами. 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"Технический 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7F" w:rsidRDefault="005E757F"/>
        </w:tc>
      </w:tr>
    </w:tbl>
    <w:p w:rsidR="005E757F" w:rsidRDefault="005E757F">
      <w:pPr>
        <w:sectPr w:rsidR="005E7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57F" w:rsidRDefault="004A4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5E757F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57F" w:rsidRDefault="005E75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7F" w:rsidRDefault="005E757F"/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Проблема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Путешествия. 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изучаемого языка. 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757F" w:rsidRDefault="005E757F">
            <w:pPr>
              <w:spacing w:after="0"/>
              <w:ind w:left="135"/>
            </w:pPr>
          </w:p>
        </w:tc>
      </w:tr>
      <w:tr w:rsidR="005E75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757F" w:rsidRDefault="004A4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7F" w:rsidRDefault="005E757F"/>
        </w:tc>
      </w:tr>
    </w:tbl>
    <w:p w:rsidR="005E757F" w:rsidRDefault="005E757F">
      <w:pPr>
        <w:sectPr w:rsidR="005E7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57F" w:rsidRDefault="005E757F">
      <w:pPr>
        <w:sectPr w:rsidR="005E7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57F" w:rsidRDefault="004A4781">
      <w:pPr>
        <w:spacing w:after="0"/>
        <w:ind w:left="120"/>
      </w:pPr>
      <w:bookmarkStart w:id="10" w:name="block-283859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757F" w:rsidRDefault="004A47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757F" w:rsidRDefault="004A47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Английский язык, 10 класс/ Афанасьева О.В., Дули Д., Михеева И.В. и другие, Акционерное общество «Издательство «Просвещение»</w:t>
      </w:r>
      <w:r>
        <w:rPr>
          <w:sz w:val="28"/>
        </w:rPr>
        <w:br/>
      </w:r>
      <w:bookmarkStart w:id="11" w:name="fcd4d2a0-5025-4100-b79a-d6e41cba5202"/>
      <w:r>
        <w:rPr>
          <w:rFonts w:ascii="Times New Roman" w:hAnsi="Times New Roman"/>
          <w:color w:val="000000"/>
          <w:sz w:val="28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5E757F" w:rsidRDefault="004A47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E757F" w:rsidRDefault="004A478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E757F" w:rsidRDefault="004A47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757F" w:rsidRDefault="004A47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E757F" w:rsidRDefault="005E757F">
      <w:pPr>
        <w:spacing w:after="0"/>
        <w:ind w:left="120"/>
      </w:pPr>
    </w:p>
    <w:p w:rsidR="005E757F" w:rsidRDefault="004A47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E757F" w:rsidRDefault="004A47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E757F" w:rsidRDefault="005E757F">
      <w:pPr>
        <w:sectPr w:rsidR="005E757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A4781" w:rsidRDefault="004A4781"/>
    <w:sectPr w:rsidR="004A4781" w:rsidSect="005E75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CC4"/>
    <w:multiLevelType w:val="multilevel"/>
    <w:tmpl w:val="2A1AA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3146DB"/>
    <w:multiLevelType w:val="multilevel"/>
    <w:tmpl w:val="1C006E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271B32"/>
    <w:multiLevelType w:val="multilevel"/>
    <w:tmpl w:val="02FCE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D0F3B"/>
    <w:multiLevelType w:val="multilevel"/>
    <w:tmpl w:val="F24CF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882FBA"/>
    <w:multiLevelType w:val="multilevel"/>
    <w:tmpl w:val="3C8ADE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95127E"/>
    <w:multiLevelType w:val="multilevel"/>
    <w:tmpl w:val="283E2C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503F4"/>
    <w:multiLevelType w:val="multilevel"/>
    <w:tmpl w:val="D3948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7F"/>
    <w:rsid w:val="002C11E7"/>
    <w:rsid w:val="004672F6"/>
    <w:rsid w:val="004A4781"/>
    <w:rsid w:val="005E757F"/>
    <w:rsid w:val="0079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75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7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75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7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16392</Words>
  <Characters>93438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dcterms:created xsi:type="dcterms:W3CDTF">2023-10-18T09:33:00Z</dcterms:created>
  <dcterms:modified xsi:type="dcterms:W3CDTF">2023-10-18T09:33:00Z</dcterms:modified>
</cp:coreProperties>
</file>