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57F" w:rsidRDefault="005E757F">
      <w:pPr>
        <w:spacing w:after="0"/>
        <w:ind w:left="120"/>
      </w:pPr>
      <w:bookmarkStart w:id="0" w:name="block-28385964"/>
    </w:p>
    <w:p w:rsidR="004672F6" w:rsidRPr="004672F6" w:rsidRDefault="004A4781" w:rsidP="004672F6">
      <w:pPr>
        <w:spacing w:line="408" w:lineRule="auto"/>
        <w:ind w:left="120"/>
        <w:jc w:val="center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hAnsi="Times New Roman"/>
          <w:color w:val="000000"/>
          <w:sz w:val="28"/>
        </w:rPr>
        <w:t>‌</w:t>
      </w:r>
      <w:r w:rsidR="004672F6" w:rsidRPr="004672F6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 xml:space="preserve"> </w:t>
      </w:r>
      <w:r w:rsidR="004672F6" w:rsidRPr="004672F6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МИНИСТЕРСТВО ПРОСВЕЩЕНИЯ РОССИЙСКОЙ ФЕДЕРАЦИИ</w:t>
      </w:r>
    </w:p>
    <w:p w:rsidR="004672F6" w:rsidRPr="004672F6" w:rsidRDefault="004672F6" w:rsidP="004672F6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  <w:r w:rsidRPr="004672F6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‌</w:t>
      </w:r>
      <w:bookmarkStart w:id="1" w:name="7e23ae95-14d1-494f-ac52-185ba52e2507"/>
      <w:r w:rsidRPr="004672F6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ДЕПАРТАМЕНТ ОБРАЗОВАНИЯ ВОЛОГОДСКОЙ ОБЛАСТИ</w:t>
      </w:r>
      <w:bookmarkEnd w:id="1"/>
      <w:r w:rsidRPr="004672F6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 xml:space="preserve">‌‌ </w:t>
      </w:r>
    </w:p>
    <w:p w:rsidR="004672F6" w:rsidRPr="004672F6" w:rsidRDefault="004672F6" w:rsidP="004672F6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  <w:r w:rsidRPr="004672F6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‌</w:t>
      </w:r>
      <w:bookmarkStart w:id="2" w:name="6a79db9e-395e-41b7-ae56-606e60c06ed6"/>
      <w:r w:rsidRPr="004672F6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Управление образования Междуреченского муниципального округа Вологодской области</w:t>
      </w:r>
      <w:bookmarkEnd w:id="2"/>
      <w:r w:rsidRPr="004672F6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‌</w:t>
      </w:r>
      <w:r w:rsidRPr="004672F6">
        <w:rPr>
          <w:rFonts w:ascii="Times New Roman" w:eastAsia="Calibri" w:hAnsi="Times New Roman" w:cs="Times New Roman"/>
          <w:color w:val="000000"/>
          <w:sz w:val="28"/>
          <w:lang w:eastAsia="ar-SA"/>
        </w:rPr>
        <w:t>​</w:t>
      </w:r>
    </w:p>
    <w:p w:rsidR="004672F6" w:rsidRPr="004672F6" w:rsidRDefault="004672F6" w:rsidP="004672F6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  <w:r w:rsidRPr="004672F6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МБОУ "Шуйская СОШ"</w:t>
      </w:r>
    </w:p>
    <w:p w:rsidR="004672F6" w:rsidRPr="004672F6" w:rsidRDefault="004672F6" w:rsidP="004672F6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618490</wp:posOffset>
            </wp:positionH>
            <wp:positionV relativeFrom="paragraph">
              <wp:posOffset>46355</wp:posOffset>
            </wp:positionV>
            <wp:extent cx="6031865" cy="1563370"/>
            <wp:effectExtent l="0" t="0" r="6985" b="0"/>
            <wp:wrapThrough wrapText="bothSides">
              <wp:wrapPolygon edited="0">
                <wp:start x="0" y="0"/>
                <wp:lineTo x="0" y="21319"/>
                <wp:lineTo x="21557" y="21319"/>
                <wp:lineTo x="2155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865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2F6" w:rsidRPr="004672F6" w:rsidRDefault="004672F6" w:rsidP="004672F6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4672F6" w:rsidRPr="004672F6" w:rsidRDefault="004672F6" w:rsidP="004672F6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4672F6" w:rsidRPr="004672F6" w:rsidRDefault="004672F6" w:rsidP="004672F6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5E757F" w:rsidRDefault="005E757F">
      <w:pPr>
        <w:spacing w:after="0"/>
        <w:ind w:left="120"/>
      </w:pPr>
    </w:p>
    <w:p w:rsidR="005E757F" w:rsidRDefault="005E757F">
      <w:pPr>
        <w:spacing w:after="0"/>
        <w:ind w:left="120"/>
      </w:pPr>
    </w:p>
    <w:p w:rsidR="005E757F" w:rsidRDefault="005E757F">
      <w:pPr>
        <w:spacing w:after="0"/>
        <w:ind w:left="120"/>
      </w:pPr>
    </w:p>
    <w:p w:rsidR="005E757F" w:rsidRDefault="005E757F">
      <w:pPr>
        <w:spacing w:after="0"/>
        <w:ind w:left="120"/>
      </w:pPr>
    </w:p>
    <w:p w:rsidR="005E757F" w:rsidRDefault="004A47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E757F" w:rsidRDefault="004A478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3752788)</w:t>
      </w:r>
    </w:p>
    <w:p w:rsidR="005E757F" w:rsidRDefault="005E757F">
      <w:pPr>
        <w:spacing w:after="0"/>
        <w:ind w:left="120"/>
        <w:jc w:val="center"/>
      </w:pPr>
    </w:p>
    <w:p w:rsidR="005E757F" w:rsidRDefault="004A47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:rsidR="005E757F" w:rsidRDefault="004A478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5E757F" w:rsidRDefault="005E757F">
      <w:pPr>
        <w:spacing w:after="0"/>
        <w:ind w:left="120"/>
        <w:jc w:val="center"/>
      </w:pPr>
    </w:p>
    <w:p w:rsidR="004672F6" w:rsidRDefault="004672F6">
      <w:pPr>
        <w:spacing w:after="0"/>
        <w:ind w:left="120"/>
        <w:jc w:val="center"/>
      </w:pPr>
    </w:p>
    <w:p w:rsidR="004672F6" w:rsidRDefault="004672F6">
      <w:pPr>
        <w:spacing w:after="0"/>
        <w:ind w:left="120"/>
        <w:jc w:val="center"/>
      </w:pPr>
    </w:p>
    <w:p w:rsidR="004672F6" w:rsidRDefault="004672F6">
      <w:pPr>
        <w:spacing w:after="0"/>
        <w:ind w:left="120"/>
        <w:jc w:val="center"/>
      </w:pPr>
      <w:bookmarkStart w:id="3" w:name="_GoBack"/>
      <w:bookmarkEnd w:id="3"/>
    </w:p>
    <w:p w:rsidR="005E757F" w:rsidRDefault="004A478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</w:t>
      </w:r>
      <w:proofErr w:type="spellStart"/>
      <w:r w:rsidR="00790CA4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="00790CA4">
        <w:rPr>
          <w:rFonts w:ascii="Times New Roman" w:hAnsi="Times New Roman"/>
          <w:b/>
          <w:color w:val="000000"/>
          <w:sz w:val="28"/>
        </w:rPr>
        <w:t>.Ш</w:t>
      </w:r>
      <w:proofErr w:type="gramEnd"/>
      <w:r w:rsidR="00790CA4">
        <w:rPr>
          <w:rFonts w:ascii="Times New Roman" w:hAnsi="Times New Roman"/>
          <w:b/>
          <w:color w:val="000000"/>
          <w:sz w:val="28"/>
        </w:rPr>
        <w:t>уйское</w:t>
      </w:r>
      <w:proofErr w:type="spellEnd"/>
      <w:r w:rsidR="00790CA4">
        <w:rPr>
          <w:rFonts w:ascii="Times New Roman" w:hAnsi="Times New Roman"/>
          <w:b/>
          <w:color w:val="000000"/>
          <w:sz w:val="28"/>
        </w:rPr>
        <w:t>, 2023 г.</w:t>
      </w:r>
      <w:r>
        <w:rPr>
          <w:rFonts w:ascii="Times New Roman" w:hAnsi="Times New Roman"/>
          <w:b/>
          <w:color w:val="000000"/>
          <w:sz w:val="28"/>
        </w:rPr>
        <w:t xml:space="preserve"> ‌</w:t>
      </w:r>
      <w:r>
        <w:rPr>
          <w:rFonts w:ascii="Times New Roman" w:hAnsi="Times New Roman"/>
          <w:color w:val="000000"/>
          <w:sz w:val="28"/>
        </w:rPr>
        <w:t>​</w:t>
      </w:r>
    </w:p>
    <w:p w:rsidR="005E757F" w:rsidRPr="00790CA4" w:rsidRDefault="005E757F">
      <w:pPr>
        <w:sectPr w:rsidR="005E757F" w:rsidRPr="00790CA4">
          <w:pgSz w:w="11906" w:h="16383"/>
          <w:pgMar w:top="1134" w:right="850" w:bottom="1134" w:left="1701" w:header="720" w:footer="720" w:gutter="0"/>
          <w:cols w:space="720"/>
        </w:sectPr>
      </w:pPr>
    </w:p>
    <w:p w:rsidR="005E757F" w:rsidRDefault="004A4781">
      <w:pPr>
        <w:spacing w:after="0" w:line="264" w:lineRule="auto"/>
        <w:ind w:left="120"/>
        <w:jc w:val="both"/>
      </w:pPr>
      <w:bookmarkStart w:id="4" w:name="block-2838596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социализации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>
        <w:rPr>
          <w:rFonts w:ascii="Times New Roman" w:hAnsi="Times New Roman"/>
          <w:color w:val="000000"/>
          <w:sz w:val="28"/>
        </w:rPr>
        <w:t>пределами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>
        <w:rPr>
          <w:rFonts w:ascii="Times New Roman" w:hAnsi="Times New Roman"/>
          <w:color w:val="000000"/>
          <w:sz w:val="28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>, так и личностных результатов обучения.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>
        <w:rPr>
          <w:rFonts w:ascii="Times New Roman" w:hAnsi="Times New Roman"/>
          <w:color w:val="000000"/>
          <w:spacing w:val="2"/>
          <w:sz w:val="28"/>
        </w:rPr>
        <w:t>языками</w:t>
      </w:r>
      <w:proofErr w:type="gramEnd"/>
      <w:r>
        <w:rPr>
          <w:rFonts w:ascii="Times New Roman" w:hAnsi="Times New Roman"/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постглобализации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>
        <w:rPr>
          <w:rFonts w:ascii="Times New Roman" w:hAnsi="Times New Roman"/>
          <w:color w:val="000000"/>
          <w:sz w:val="28"/>
        </w:rPr>
        <w:t>ств гр</w:t>
      </w:r>
      <w:proofErr w:type="gramEnd"/>
      <w:r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>
        <w:rPr>
          <w:rFonts w:ascii="Times New Roman" w:hAnsi="Times New Roman"/>
          <w:color w:val="000000"/>
          <w:sz w:val="28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>
        <w:rPr>
          <w:rFonts w:ascii="Times New Roman" w:hAnsi="Times New Roman"/>
          <w:color w:val="000000"/>
          <w:sz w:val="28"/>
        </w:rPr>
        <w:t>речевая</w:t>
      </w:r>
      <w:proofErr w:type="gramEnd"/>
      <w:r>
        <w:rPr>
          <w:rFonts w:ascii="Times New Roman" w:hAnsi="Times New Roman"/>
          <w:color w:val="000000"/>
          <w:sz w:val="28"/>
        </w:rPr>
        <w:t xml:space="preserve">, языковая, социокультурная, компенсаторная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компетенции: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чтении, письменной речи);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иностранным языкам признаются </w:t>
      </w:r>
      <w:proofErr w:type="spellStart"/>
      <w:r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>
        <w:rPr>
          <w:rFonts w:ascii="Times New Roman" w:hAnsi="Times New Roman"/>
          <w:color w:val="000000"/>
          <w:sz w:val="28"/>
        </w:rPr>
        <w:t>, системно-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>
        <w:rPr>
          <w:rFonts w:ascii="Times New Roman" w:hAnsi="Times New Roman"/>
          <w:color w:val="000000"/>
          <w:sz w:val="28"/>
        </w:rPr>
        <w:lastRenderedPageBreak/>
        <w:t>педагогических технологий и возможностей цифровой образовательной среды.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5" w:name="b1cb9ba3-8936-440c-ac0f-95944fbe2f65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  <w:r>
        <w:rPr>
          <w:rFonts w:ascii="Times New Roman" w:hAnsi="Times New Roman"/>
          <w:color w:val="000000"/>
          <w:sz w:val="28"/>
        </w:rPr>
        <w:t>‌‌</w:t>
      </w:r>
    </w:p>
    <w:p w:rsidR="005E757F" w:rsidRDefault="005E757F">
      <w:pPr>
        <w:sectPr w:rsidR="005E757F">
          <w:pgSz w:w="11906" w:h="16383"/>
          <w:pgMar w:top="1134" w:right="850" w:bottom="1134" w:left="1701" w:header="720" w:footer="720" w:gutter="0"/>
          <w:cols w:space="720"/>
        </w:sectPr>
      </w:pPr>
    </w:p>
    <w:p w:rsidR="005E757F" w:rsidRDefault="004A4781">
      <w:pPr>
        <w:spacing w:after="0" w:line="264" w:lineRule="auto"/>
        <w:ind w:left="120"/>
        <w:jc w:val="both"/>
      </w:pPr>
      <w:bookmarkStart w:id="6" w:name="block-2838596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обучающегося). Роль иностранного языка в планах на будущее.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проживания в городской/сельской местности.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до 14 фраз.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>
        <w:rPr>
          <w:rFonts w:ascii="Times New Roman" w:hAnsi="Times New Roman"/>
          <w:color w:val="000000"/>
          <w:sz w:val="28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другие) и понимание представленной в них информации.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>
        <w:rPr>
          <w:rFonts w:ascii="Times New Roman" w:hAnsi="Times New Roman"/>
          <w:color w:val="000000"/>
          <w:sz w:val="28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>
        <w:rPr>
          <w:rFonts w:ascii="Times New Roman" w:hAnsi="Times New Roman"/>
          <w:color w:val="000000"/>
          <w:sz w:val="28"/>
        </w:rPr>
        <w:lastRenderedPageBreak/>
        <w:t>соблюдением существующей в английском языке нормы лексической сочетаемости.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ship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inter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non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able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an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blackboard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blue-eyed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eight-legged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 II (</w:t>
      </w:r>
      <w:proofErr w:type="spellStart"/>
      <w:r>
        <w:rPr>
          <w:rFonts w:ascii="Times New Roman" w:hAnsi="Times New Roman"/>
          <w:color w:val="000000"/>
          <w:sz w:val="28"/>
        </w:rPr>
        <w:t>well-behaved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</w:rPr>
        <w:t>nice-looking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конверсия: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неопределённой формы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hAnsi="Times New Roman"/>
          <w:color w:val="000000"/>
          <w:sz w:val="28"/>
        </w:rPr>
        <w:t>We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moved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color w:val="000000"/>
          <w:sz w:val="28"/>
        </w:rPr>
        <w:t>new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house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year</w:t>
      </w:r>
      <w:proofErr w:type="spellEnd"/>
      <w:r>
        <w:rPr>
          <w:rFonts w:ascii="Times New Roman" w:hAnsi="Times New Roman"/>
          <w:color w:val="000000"/>
          <w:sz w:val="28"/>
        </w:rPr>
        <w:t xml:space="preserve">.).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4672F6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 w:rsidRPr="004672F6">
        <w:rPr>
          <w:rFonts w:ascii="Times New Roman" w:hAnsi="Times New Roman"/>
          <w:color w:val="000000"/>
          <w:sz w:val="28"/>
          <w:lang w:val="en-US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II).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>
        <w:rPr>
          <w:rFonts w:ascii="Times New Roman" w:hAnsi="Times New Roman"/>
          <w:color w:val="000000"/>
          <w:sz w:val="28"/>
        </w:rPr>
        <w:t xml:space="preserve">…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).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I’d rather, You’d better.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color w:val="000000"/>
          <w:sz w:val="28"/>
        </w:rPr>
        <w:t>образованных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of).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>
        <w:rPr>
          <w:rFonts w:ascii="Times New Roman" w:hAnsi="Times New Roman"/>
          <w:color w:val="000000"/>
          <w:sz w:val="28"/>
        </w:rPr>
        <w:t>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образования.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>
        <w:rPr>
          <w:rFonts w:ascii="Times New Roman" w:hAnsi="Times New Roman"/>
          <w:color w:val="000000"/>
          <w:sz w:val="28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>
        <w:rPr>
          <w:rFonts w:ascii="Times New Roman" w:hAnsi="Times New Roman"/>
          <w:color w:val="000000"/>
          <w:sz w:val="28"/>
        </w:rPr>
        <w:t>и(</w:t>
      </w:r>
      <w:proofErr w:type="gramEnd"/>
      <w:r>
        <w:rPr>
          <w:rFonts w:ascii="Times New Roman" w:hAnsi="Times New Roman"/>
          <w:color w:val="000000"/>
          <w:sz w:val="28"/>
        </w:rPr>
        <w:t>или) без их использования.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Языковая сложность 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должна соответствовать пороговому уровню (В</w:t>
      </w:r>
      <w:proofErr w:type="gramStart"/>
      <w:r>
        <w:rPr>
          <w:rFonts w:ascii="Times New Roman" w:hAnsi="Times New Roman"/>
          <w:color w:val="000000"/>
          <w:sz w:val="28"/>
        </w:rPr>
        <w:t>1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>
        <w:rPr>
          <w:rFonts w:ascii="Times New Roman" w:hAnsi="Times New Roman"/>
          <w:color w:val="000000"/>
          <w:sz w:val="28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других) и понимание представленной в них информации.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пороговому уровню (В</w:t>
      </w:r>
      <w:proofErr w:type="gramStart"/>
      <w:r>
        <w:rPr>
          <w:rFonts w:ascii="Times New Roman" w:hAnsi="Times New Roman"/>
          <w:color w:val="000000"/>
          <w:sz w:val="28"/>
        </w:rPr>
        <w:t>1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ship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inter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non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post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pre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able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an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blue-bell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blue-eyed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eight-legged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причастия II (</w:t>
      </w:r>
      <w:proofErr w:type="spellStart"/>
      <w:r>
        <w:rPr>
          <w:rFonts w:ascii="Times New Roman" w:hAnsi="Times New Roman"/>
          <w:color w:val="000000"/>
          <w:sz w:val="28"/>
        </w:rPr>
        <w:t>well-behaved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</w:rPr>
        <w:t>nice-looking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конверсия: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имён существительных от неопределённой формы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hAnsi="Times New Roman"/>
          <w:color w:val="000000"/>
          <w:sz w:val="28"/>
        </w:rPr>
        <w:t>We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moved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color w:val="000000"/>
          <w:sz w:val="28"/>
        </w:rPr>
        <w:t>new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house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year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4672F6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 w:rsidRPr="004672F6">
        <w:rPr>
          <w:rFonts w:ascii="Times New Roman" w:hAnsi="Times New Roman"/>
          <w:color w:val="000000"/>
          <w:sz w:val="28"/>
          <w:lang w:val="en-US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II).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Все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>
        <w:rPr>
          <w:rFonts w:ascii="Times New Roman" w:hAnsi="Times New Roman"/>
          <w:color w:val="000000"/>
          <w:sz w:val="28"/>
        </w:rPr>
        <w:t xml:space="preserve">…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).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I’d rather, You’d better.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color w:val="000000"/>
          <w:sz w:val="28"/>
        </w:rPr>
        <w:t>образованных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цвет – происхождение).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of).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Компенсаторные умения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языковую и контекстуальную догадку.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5E757F" w:rsidRDefault="005E757F">
      <w:pPr>
        <w:sectPr w:rsidR="005E757F">
          <w:pgSz w:w="11906" w:h="16383"/>
          <w:pgMar w:top="1134" w:right="850" w:bottom="1134" w:left="1701" w:header="720" w:footer="720" w:gutter="0"/>
          <w:cols w:space="720"/>
        </w:sectPr>
      </w:pPr>
    </w:p>
    <w:p w:rsidR="005E757F" w:rsidRDefault="004A4781">
      <w:pPr>
        <w:spacing w:after="0" w:line="264" w:lineRule="auto"/>
        <w:ind w:left="120"/>
        <w:jc w:val="both"/>
      </w:pPr>
      <w:bookmarkStart w:id="7" w:name="block-28385966"/>
      <w:bookmarkEnd w:id="6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E757F" w:rsidRDefault="004A47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5E757F" w:rsidRDefault="004A47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5E757F" w:rsidRDefault="004A47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5E757F" w:rsidRDefault="004A47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5E757F" w:rsidRDefault="004A47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5E757F" w:rsidRDefault="004A47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E757F" w:rsidRDefault="004A47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E757F" w:rsidRDefault="004A47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ключевыми понятиями;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5E757F" w:rsidRDefault="004A47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E757F" w:rsidRDefault="004A478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E757F" w:rsidRDefault="004A478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5E757F" w:rsidRDefault="004A478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5E757F" w:rsidRDefault="004A478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E757F" w:rsidRDefault="004A478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5E757F" w:rsidRDefault="004A47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5E757F" w:rsidRDefault="004A47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E757F" w:rsidRDefault="004A47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>
        <w:rPr>
          <w:rFonts w:ascii="Times New Roman" w:hAnsi="Times New Roman"/>
          <w:color w:val="000000"/>
          <w:sz w:val="28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</w:rPr>
        <w:t>, уметь смягчать конфликтные ситуации;</w:t>
      </w:r>
    </w:p>
    <w:p w:rsidR="005E757F" w:rsidRDefault="004A47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5E757F" w:rsidRDefault="004A47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E757F" w:rsidRDefault="004A47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E757F" w:rsidRDefault="004A47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5E757F" w:rsidRDefault="004A47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5E757F" w:rsidRDefault="004A47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E757F" w:rsidRDefault="004A47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созданный речевой проду</w:t>
      </w:r>
      <w:proofErr w:type="gramStart"/>
      <w:r>
        <w:rPr>
          <w:rFonts w:ascii="Times New Roman" w:hAnsi="Times New Roman"/>
          <w:color w:val="000000"/>
          <w:sz w:val="28"/>
        </w:rPr>
        <w:t>кт в сл</w:t>
      </w:r>
      <w:proofErr w:type="gramEnd"/>
      <w:r>
        <w:rPr>
          <w:rFonts w:ascii="Times New Roman" w:hAnsi="Times New Roman"/>
          <w:color w:val="000000"/>
          <w:sz w:val="28"/>
        </w:rPr>
        <w:t xml:space="preserve">учае необходимости; 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5E757F" w:rsidRDefault="004A47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5E757F" w:rsidRDefault="004A47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5E757F" w:rsidRDefault="004A47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5E757F" w:rsidRDefault="004A47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5E757F" w:rsidRDefault="004A47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E757F" w:rsidRDefault="004A47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E757F" w:rsidRDefault="005E757F">
      <w:pPr>
        <w:spacing w:after="0" w:line="264" w:lineRule="auto"/>
        <w:ind w:left="120"/>
        <w:jc w:val="both"/>
      </w:pP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2,5 минут).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тексты (таблицы, диаграммы, графики и другие) и понимать представленную в них информацию.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3)владеть пунктуационными навыками: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-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ance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ence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er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/-or,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ist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ity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ment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-ness,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sion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tion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, -ship;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-, inter-, non-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-able/-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ible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-al,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ed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ese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ful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ian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/-an,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ish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ive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-less,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ly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ous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-y;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bluebell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blue-eyed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eight-legged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сложных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путём соединения наречия с основой причастия II (</w:t>
      </w:r>
      <w:proofErr w:type="spellStart"/>
      <w:r>
        <w:rPr>
          <w:rFonts w:ascii="Times New Roman" w:hAnsi="Times New Roman"/>
          <w:color w:val="000000"/>
          <w:sz w:val="28"/>
        </w:rPr>
        <w:t>well-behaved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</w:rPr>
        <w:t>nice-looking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/>
          <w:color w:val="000000"/>
          <w:sz w:val="28"/>
        </w:rPr>
        <w:t>речи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look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seem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feel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II);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Present/Past/Future Simple Tense, </w:t>
      </w:r>
      <w:r w:rsidRPr="004672F6">
        <w:rPr>
          <w:rFonts w:ascii="Times New Roman" w:hAnsi="Times New Roman"/>
          <w:color w:val="000000"/>
          <w:sz w:val="28"/>
          <w:lang w:val="en-US"/>
        </w:rPr>
        <w:lastRenderedPageBreak/>
        <w:t xml:space="preserve">Present/Past Continuous Tense, Present/Past Perfect Tense, Present Perfect Continuous Tense);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color w:val="000000"/>
          <w:sz w:val="28"/>
        </w:rPr>
        <w:t>образованных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>
        <w:rPr>
          <w:rFonts w:ascii="Times New Roman" w:hAnsi="Times New Roman"/>
          <w:color w:val="000000"/>
          <w:sz w:val="28"/>
        </w:rPr>
        <w:t>, и другие);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умениями, позволяющими: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5E757F" w:rsidRDefault="004A47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2,5 минут)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тексты (таблицы, диаграммы, графики) и понимать представленную в них информацию.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-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ance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ence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er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/-or,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ist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ity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ment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-ness,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sion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tion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, -ship;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-, inter-, non-, post-, pre-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-able/-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ible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-al,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ed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ese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ful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ian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/ -an,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ical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ish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ive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-less,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ly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ous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, -y;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bluebell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blue-eyed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eight-legged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наречия с основой причастия II (</w:t>
      </w:r>
      <w:proofErr w:type="spellStart"/>
      <w:r>
        <w:rPr>
          <w:rFonts w:ascii="Times New Roman" w:hAnsi="Times New Roman"/>
          <w:color w:val="000000"/>
          <w:sz w:val="28"/>
        </w:rPr>
        <w:t>well-behaved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</w:rPr>
        <w:t>nice-looking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/>
          <w:color w:val="000000"/>
          <w:sz w:val="28"/>
        </w:rPr>
        <w:t>речи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look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seem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feel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II);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>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4672F6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4672F6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color w:val="000000"/>
          <w:sz w:val="28"/>
        </w:rPr>
        <w:t>образованных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5E757F" w:rsidRPr="004672F6" w:rsidRDefault="004A4781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4672F6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5E757F" w:rsidRDefault="004A478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>
        <w:rPr>
          <w:rFonts w:ascii="Times New Roman" w:hAnsi="Times New Roman"/>
          <w:color w:val="000000"/>
          <w:sz w:val="28"/>
        </w:rPr>
        <w:t>, и другие);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языковую и контекстуальную догадку;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5E757F" w:rsidRDefault="004A47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5E757F" w:rsidRDefault="005E757F">
      <w:pPr>
        <w:sectPr w:rsidR="005E757F">
          <w:pgSz w:w="11906" w:h="16383"/>
          <w:pgMar w:top="1134" w:right="850" w:bottom="1134" w:left="1701" w:header="720" w:footer="720" w:gutter="0"/>
          <w:cols w:space="720"/>
        </w:sectPr>
      </w:pPr>
    </w:p>
    <w:p w:rsidR="005E757F" w:rsidRDefault="004A4781">
      <w:pPr>
        <w:spacing w:after="0"/>
        <w:ind w:left="120"/>
      </w:pPr>
      <w:bookmarkStart w:id="8" w:name="block-2838596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E757F" w:rsidRDefault="004A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05"/>
        <w:gridCol w:w="1841"/>
        <w:gridCol w:w="2236"/>
        <w:gridCol w:w="2278"/>
      </w:tblGrid>
      <w:tr w:rsidR="005E757F">
        <w:trPr>
          <w:trHeight w:val="144"/>
          <w:tblCellSpacing w:w="20" w:type="nil"/>
        </w:trPr>
        <w:tc>
          <w:tcPr>
            <w:tcW w:w="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Воспитательный компонент </w:t>
            </w:r>
          </w:p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</w:t>
            </w:r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proofErr w:type="gramEnd"/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включение в урок игровых процедур, которые помогают поддержать мотивацию детей к получению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обсуждаемой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уроке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</w:t>
            </w:r>
            <w:proofErr w:type="spellEnd"/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привлечение внимания школьников к ценностному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включение в урок игровых процедур, которые помогают поддержать мотивацию детей к получению знаний, налаживанию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 использование воспитательных возможностей содержания учебного предмета через демонстрацию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proofErr w:type="gramEnd"/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доброжелательной атмосферы во время урока</w:t>
            </w:r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5E757F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побуждение школьников соблюдать на уроке общепринятые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нормы поведения, правила общения со старшими (учителями) и сверстниками (школьниками), принципы учебной дисциплины и самоорганизации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ситуаций для обсуждения в классе</w:t>
            </w:r>
            <w:proofErr w:type="gramEnd"/>
          </w:p>
        </w:tc>
      </w:tr>
      <w:tr w:rsidR="005E7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57F" w:rsidRDefault="005E757F"/>
        </w:tc>
      </w:tr>
    </w:tbl>
    <w:p w:rsidR="005E757F" w:rsidRDefault="005E757F">
      <w:pPr>
        <w:sectPr w:rsidR="005E7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57F" w:rsidRDefault="004A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44"/>
        <w:gridCol w:w="1841"/>
        <w:gridCol w:w="2401"/>
      </w:tblGrid>
      <w:tr w:rsidR="00790CA4" w:rsidTr="00790CA4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90CA4" w:rsidRDefault="00790CA4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0CA4" w:rsidRDefault="00790CA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CA4" w:rsidRDefault="00790CA4" w:rsidP="00790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Воспитательный компонент </w:t>
            </w:r>
          </w:p>
          <w:p w:rsidR="00790CA4" w:rsidRDefault="00790CA4" w:rsidP="00790CA4">
            <w:pPr>
              <w:spacing w:after="0"/>
              <w:ind w:left="135"/>
            </w:pP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CA4" w:rsidRDefault="00790C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CA4" w:rsidRDefault="00790CA4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0CA4" w:rsidRDefault="00790CA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0CA4" w:rsidRDefault="00790C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CA4" w:rsidRDefault="00790CA4"/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обсуждаемой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уроке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</w:t>
            </w:r>
            <w:proofErr w:type="spellEnd"/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</w:pP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на уроках явлений, организация их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экзаменам. Выбор профессии. Альтернативы в продолжени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включение в урок игровых процедур, которые помогают поддержать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доверительных отношений между учителем и его учениками, способствующих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позитивному восприятию учащимися требований и просьб учителя, привлечению их внимания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обсуждаемой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уроке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</w:t>
            </w:r>
            <w:proofErr w:type="spellEnd"/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включение в урок игровых процедур, которые помогают поддержать мотивацию детей к получению знаний, налаживанию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на уроках явлений, организация их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обсуждаемой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уроке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</w:t>
            </w:r>
            <w:proofErr w:type="spellEnd"/>
          </w:p>
        </w:tc>
      </w:tr>
      <w:tr w:rsidR="00790CA4" w:rsidTr="00790CA4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90CA4" w:rsidRPr="00790CA4" w:rsidRDefault="00790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1" w:type="dxa"/>
            <w:tcMar>
              <w:top w:w="50" w:type="dxa"/>
              <w:left w:w="100" w:type="dxa"/>
            </w:tcMar>
            <w:vAlign w:val="center"/>
          </w:tcPr>
          <w:p w:rsidR="00790CA4" w:rsidRDefault="00790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привлечение внимания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5E757F" w:rsidTr="00790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E757F" w:rsidRDefault="005E757F"/>
        </w:tc>
      </w:tr>
    </w:tbl>
    <w:p w:rsidR="005E757F" w:rsidRDefault="005E757F">
      <w:pPr>
        <w:sectPr w:rsidR="005E7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57F" w:rsidRDefault="005E757F">
      <w:pPr>
        <w:sectPr w:rsidR="005E7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57F" w:rsidRDefault="004A4781">
      <w:pPr>
        <w:spacing w:after="0"/>
        <w:ind w:left="120"/>
      </w:pPr>
      <w:bookmarkStart w:id="9" w:name="block-283859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757F" w:rsidRDefault="004A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5E757F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человека, любимого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Школьная жизнь других стран. Переписка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"Современный мир профессий. Проблемы выбора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Любовь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Исчезающие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животных. 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отходами. 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"Технический прогресс: перспективы и последствия. 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страны изучаемого языка.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57F" w:rsidRDefault="005E757F"/>
        </w:tc>
      </w:tr>
    </w:tbl>
    <w:p w:rsidR="005E757F" w:rsidRDefault="005E757F">
      <w:pPr>
        <w:sectPr w:rsidR="005E7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57F" w:rsidRDefault="004A4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5E757F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757F" w:rsidRDefault="005E75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57F" w:rsidRDefault="005E757F"/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человека в экстремальной ситуации. 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Проблема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буллинга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решения. Подготовка к выпускным экзаменам. Выбор профессии. Альтернативы в продолжени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"Молодежь в современном обществе. Ценностные ориентиры. Участие молодежи в жизни общества. 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Путешествия. 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местности. 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Загрязнение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страны изучаемого языка. 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E757F" w:rsidRDefault="005E757F">
            <w:pPr>
              <w:spacing w:after="0"/>
              <w:ind w:left="135"/>
            </w:pPr>
          </w:p>
        </w:tc>
      </w:tr>
      <w:tr w:rsidR="005E7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E757F" w:rsidRDefault="004A4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57F" w:rsidRDefault="005E757F"/>
        </w:tc>
      </w:tr>
    </w:tbl>
    <w:p w:rsidR="005E757F" w:rsidRDefault="005E757F">
      <w:pPr>
        <w:sectPr w:rsidR="005E7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57F" w:rsidRDefault="005E757F">
      <w:pPr>
        <w:sectPr w:rsidR="005E7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57F" w:rsidRDefault="004A4781">
      <w:pPr>
        <w:spacing w:after="0"/>
        <w:ind w:left="120"/>
      </w:pPr>
      <w:bookmarkStart w:id="10" w:name="block-2838596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757F" w:rsidRDefault="004A47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757F" w:rsidRDefault="004A47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Английский язык, 10 класс/ Афанасьева О.В., Дули Д., Михеева И.В. и другие, Акционерное общество «Издательство «Просвещение»</w:t>
      </w:r>
      <w:r>
        <w:rPr>
          <w:sz w:val="28"/>
        </w:rPr>
        <w:br/>
      </w:r>
      <w:bookmarkStart w:id="11" w:name="fcd4d2a0-5025-4100-b79a-d6e41cba5202"/>
      <w:r>
        <w:rPr>
          <w:rFonts w:ascii="Times New Roman" w:hAnsi="Times New Roman"/>
          <w:color w:val="000000"/>
          <w:sz w:val="28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5E757F" w:rsidRDefault="004A47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E757F" w:rsidRDefault="004A478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E757F" w:rsidRDefault="004A47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757F" w:rsidRDefault="004A47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E757F" w:rsidRDefault="005E757F">
      <w:pPr>
        <w:spacing w:after="0"/>
        <w:ind w:left="120"/>
      </w:pPr>
    </w:p>
    <w:p w:rsidR="005E757F" w:rsidRDefault="004A47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E757F" w:rsidRDefault="004A47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E757F" w:rsidRDefault="005E757F">
      <w:pPr>
        <w:sectPr w:rsidR="005E757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A4781" w:rsidRDefault="004A4781"/>
    <w:sectPr w:rsidR="004A4781" w:rsidSect="005E75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7CC4"/>
    <w:multiLevelType w:val="multilevel"/>
    <w:tmpl w:val="2A1AA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3146DB"/>
    <w:multiLevelType w:val="multilevel"/>
    <w:tmpl w:val="1C006E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271B32"/>
    <w:multiLevelType w:val="multilevel"/>
    <w:tmpl w:val="02FCE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9D0F3B"/>
    <w:multiLevelType w:val="multilevel"/>
    <w:tmpl w:val="F24CF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882FBA"/>
    <w:multiLevelType w:val="multilevel"/>
    <w:tmpl w:val="3C8ADE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95127E"/>
    <w:multiLevelType w:val="multilevel"/>
    <w:tmpl w:val="283E2C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6503F4"/>
    <w:multiLevelType w:val="multilevel"/>
    <w:tmpl w:val="D3948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7F"/>
    <w:rsid w:val="002C11E7"/>
    <w:rsid w:val="004672F6"/>
    <w:rsid w:val="004A4781"/>
    <w:rsid w:val="005E757F"/>
    <w:rsid w:val="0079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75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75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75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75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16392</Words>
  <Characters>93438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</cp:revision>
  <dcterms:created xsi:type="dcterms:W3CDTF">2023-10-18T09:33:00Z</dcterms:created>
  <dcterms:modified xsi:type="dcterms:W3CDTF">2023-10-18T09:33:00Z</dcterms:modified>
</cp:coreProperties>
</file>